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78D6" w14:textId="77777777" w:rsidR="00E85045" w:rsidRPr="00E85045" w:rsidRDefault="00E85045" w:rsidP="00E85045">
      <w:pPr>
        <w:pStyle w:val="Heading2"/>
        <w:rPr>
          <w:b/>
          <w:bCs/>
          <w:color w:val="0092B6"/>
          <w:sz w:val="46"/>
          <w:szCs w:val="46"/>
        </w:rPr>
      </w:pPr>
      <w:r w:rsidRPr="00E85045">
        <w:rPr>
          <w:b/>
          <w:bCs/>
          <w:color w:val="0092B6"/>
          <w:sz w:val="46"/>
          <w:szCs w:val="46"/>
        </w:rPr>
        <w:t>Contextual analysis of geophysical susceptibility to hazards</w:t>
      </w:r>
    </w:p>
    <w:p w14:paraId="311EFF6F" w14:textId="44BA9068" w:rsidR="00856DB5" w:rsidRPr="00856DB5" w:rsidRDefault="00856DB5" w:rsidP="00856DB5">
      <w:pPr>
        <w:pStyle w:val="Heading2"/>
      </w:pPr>
      <w:r>
        <w:t xml:space="preserve">Risk-Informed Development Guide: Tool </w:t>
      </w:r>
      <w:r w:rsidR="00E85045">
        <w:t>3</w:t>
      </w:r>
    </w:p>
    <w:p w14:paraId="3F59BE21" w14:textId="73DB1F6F" w:rsidR="00B126D2" w:rsidRDefault="00E85045" w:rsidP="00E85045">
      <w:r w:rsidRPr="00E85045">
        <w:t xml:space="preserve">Use this tool to check if the communities concerned are living in contexts or conditions that are </w:t>
      </w:r>
      <w:r w:rsidRPr="00E85045">
        <w:t>susceptible</w:t>
      </w:r>
      <w:r w:rsidRPr="00E85045">
        <w:t xml:space="preserve"> to various hazards.</w:t>
      </w:r>
      <w:r>
        <w:t xml:space="preserve"> </w:t>
      </w:r>
      <w:r w:rsidR="00B126D2">
        <w:t>This</w:t>
      </w:r>
      <w:r w:rsidR="00E756D9">
        <w:t xml:space="preserve"> template is particularly useful for stage </w:t>
      </w:r>
      <w:r w:rsidR="00E0127E">
        <w:t>t</w:t>
      </w:r>
      <w:r>
        <w:t>hree</w:t>
      </w:r>
      <w:r w:rsidR="00E756D9">
        <w:t xml:space="preserve"> of risk-informed development planning. </w:t>
      </w:r>
    </w:p>
    <w:p w14:paraId="0196C8A1" w14:textId="77777777" w:rsidR="00E85045" w:rsidRPr="00E85045" w:rsidRDefault="00E85045" w:rsidP="00E85045">
      <w:pPr>
        <w:rPr>
          <w:b/>
          <w:bCs/>
        </w:rPr>
      </w:pPr>
      <w:r w:rsidRPr="00E85045">
        <w:rPr>
          <w:b/>
          <w:bCs/>
        </w:rPr>
        <w:t>Overview</w:t>
      </w:r>
    </w:p>
    <w:p w14:paraId="109B8688" w14:textId="77777777" w:rsidR="00E85045" w:rsidRPr="00E85045" w:rsidRDefault="00E85045" w:rsidP="00E85045">
      <w:r w:rsidRPr="00E85045">
        <w:t>Certain conditions and contexts can cause specific hazards. Look for these conditions to determine if the community concerned is prone to the hazards corresponding to these conditions.</w:t>
      </w:r>
    </w:p>
    <w:p w14:paraId="3984D22B" w14:textId="77777777" w:rsidR="00E85045" w:rsidRPr="00E85045" w:rsidRDefault="00E85045" w:rsidP="00E85045">
      <w:r w:rsidRPr="00E85045">
        <w:t>Two table are provided:</w:t>
      </w:r>
    </w:p>
    <w:p w14:paraId="377F9AE5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t>Table 1 shows hazards that are either natural or triggered by climate change</w:t>
      </w:r>
    </w:p>
    <w:p w14:paraId="35660820" w14:textId="77777777" w:rsidR="00E85045" w:rsidRPr="00E85045" w:rsidRDefault="00E85045" w:rsidP="00E85045">
      <w:pPr>
        <w:pStyle w:val="ListParagraph"/>
        <w:numPr>
          <w:ilvl w:val="0"/>
          <w:numId w:val="19"/>
        </w:numPr>
      </w:pPr>
      <w:r w:rsidRPr="00E85045">
        <w:t>Table 2 shows hazards that are human triggered</w:t>
      </w:r>
    </w:p>
    <w:p w14:paraId="265291A9" w14:textId="77777777" w:rsidR="00E85045" w:rsidRPr="00E85045" w:rsidRDefault="00E85045" w:rsidP="00E85045">
      <w:pPr>
        <w:rPr>
          <w:b/>
          <w:bCs/>
        </w:rPr>
      </w:pPr>
    </w:p>
    <w:p w14:paraId="7A158247" w14:textId="31B89F04" w:rsidR="00E85045" w:rsidRPr="00E85045" w:rsidRDefault="00E85045" w:rsidP="00E85045">
      <w:r w:rsidRPr="00E85045">
        <w:t>The list of hazards is illustrative and not exhaustive</w:t>
      </w:r>
      <w:r>
        <w:t xml:space="preserve">. </w:t>
      </w:r>
      <w:r w:rsidRPr="00E85045">
        <w:t>The geographic determinants of susceptibility to hazards could be mapped or located with reference the settlement.</w:t>
      </w:r>
      <w:r>
        <w:t xml:space="preserve"> </w:t>
      </w:r>
      <w:r w:rsidRPr="00E85045">
        <w:t>Local indicators of susceptibility to hazards may be related to people, place, physical factors, and systems.</w:t>
      </w:r>
    </w:p>
    <w:p w14:paraId="3C72CA62" w14:textId="49AC0AA0" w:rsidR="00E85045" w:rsidRDefault="00E85045" w:rsidP="00E85045"/>
    <w:p w14:paraId="68207669" w14:textId="13FCE109" w:rsidR="00F325BA" w:rsidRDefault="00F325BA" w:rsidP="00F325BA">
      <w:pPr>
        <w:pStyle w:val="Heading1"/>
      </w:pPr>
      <w:r w:rsidRPr="00F325BA">
        <w:lastRenderedPageBreak/>
        <w:t>Table 1: Hazards that are either natural or triggered by climate change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39"/>
        <w:gridCol w:w="5315"/>
        <w:gridCol w:w="5308"/>
      </w:tblGrid>
      <w:tr w:rsidR="00E85045" w:rsidRPr="00280992" w14:paraId="233F74C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3530E8" w14:textId="24D650EF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5A20DBF" w14:textId="311AF8CC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bCs/>
                <w:color w:val="FFFFFF" w:themeColor="background1"/>
              </w:rPr>
              <w:t xml:space="preserve">Geographic determinants of susceptibility to hazards 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4F62D94" w14:textId="06FCF3A0" w:rsidR="00E85045" w:rsidRPr="00280992" w:rsidRDefault="00E85045" w:rsidP="00E85045">
            <w:pPr>
              <w:spacing w:before="0" w:after="0"/>
              <w:rPr>
                <w:b/>
                <w:bCs/>
                <w:color w:val="FFFFFF" w:themeColor="background1"/>
              </w:rPr>
            </w:pPr>
            <w:r w:rsidRPr="00280992">
              <w:rPr>
                <w:b/>
                <w:bCs/>
                <w:color w:val="FFFFFF" w:themeColor="background1"/>
              </w:rPr>
              <w:t>Local indicators of susceptibility to hazards</w:t>
            </w:r>
          </w:p>
        </w:tc>
      </w:tr>
      <w:tr w:rsidR="00E85045" w:rsidRPr="00E85045" w14:paraId="59314966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AAE17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Earthquakes and tremors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9954C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Presence of fault lines in the locality and in the region around the community, village or town</w:t>
            </w:r>
          </w:p>
          <w:p w14:paraId="3C56EE8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 there dams, mining explosion activities in areas with a history of earthquakes and seismic activities?</w:t>
            </w:r>
          </w:p>
          <w:p w14:paraId="6E09716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Presence of volcanic craters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507DB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Soil instability (frequent erosions, lands that are barren)</w:t>
            </w:r>
          </w:p>
          <w:p w14:paraId="59F4CF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Buildings and constructions that are not seismic appropriate or resistant</w:t>
            </w:r>
          </w:p>
          <w:p w14:paraId="1FCEBCE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No or poor early warning systems</w:t>
            </w:r>
          </w:p>
        </w:tc>
      </w:tr>
      <w:tr w:rsidR="00E85045" w:rsidRPr="00E85045" w14:paraId="38FA5C8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2D9AE5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Landslides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40202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Mountainous landscapes and valley regions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C30034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Barren lands, fallow agricultural landscapes, soils with high water holding capacity and shallow soils</w:t>
            </w:r>
          </w:p>
        </w:tc>
      </w:tr>
      <w:tr w:rsidR="00E85045" w:rsidRPr="00E85045" w14:paraId="776BA5ED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BBDD6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Flooding (river flooding)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2909F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Communities living in proximity to large river and river systems, especially in five year, 10-year floodplains</w:t>
            </w:r>
          </w:p>
          <w:p w14:paraId="2A700AE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Communities living in proximity to rivers with increasing trends of rainfall (rainfall duration and intensity) in its basin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5EB5A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Valley regions and drainage areas of the river</w:t>
            </w:r>
          </w:p>
        </w:tc>
      </w:tr>
      <w:tr w:rsidR="00E85045" w:rsidRPr="00E85045" w14:paraId="1E17005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7C9624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Flooding (urban flooding)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CBBD92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 xml:space="preserve">Older historic areas within the city (as these typically become low lying areas as the city expands around it and also because these </w:t>
            </w:r>
            <w:r w:rsidRPr="00E85045">
              <w:lastRenderedPageBreak/>
              <w:t>areas have older and degraded drainage systems)</w:t>
            </w:r>
          </w:p>
          <w:p w14:paraId="3A344F0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which have organically developed (</w:t>
            </w:r>
            <w:proofErr w:type="gramStart"/>
            <w:r w:rsidRPr="00E85045">
              <w:t>i.e.</w:t>
            </w:r>
            <w:proofErr w:type="gramEnd"/>
            <w:r w:rsidRPr="00E85045">
              <w:t xml:space="preserve"> unplanned) within the city</w:t>
            </w:r>
          </w:p>
          <w:p w14:paraId="03C9645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Peri-urban areas (areas that are lying towards the edges of the city administrative areas)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01C17E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lastRenderedPageBreak/>
              <w:t>Areas in close proximity to canals and storm water drains or rivers and rivulets</w:t>
            </w:r>
          </w:p>
          <w:p w14:paraId="30CEDEA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lastRenderedPageBreak/>
              <w:t>Areas with older drainage and sewerage systems and areas which don’t have drainage systems in place</w:t>
            </w:r>
          </w:p>
          <w:p w14:paraId="0B3F7F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in proximity to polluted landscapes and drains that are clogged with solid waste</w:t>
            </w:r>
          </w:p>
        </w:tc>
      </w:tr>
      <w:tr w:rsidR="00E85045" w:rsidRPr="00E85045" w14:paraId="66510132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373EE47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lastRenderedPageBreak/>
              <w:t>Volcanic eruptions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89053E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Landscapes with previous history of volcanic eruptions and volcanic activities (refer to historic data from data library)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9AE14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 xml:space="preserve">Areas lying in proximity to active and dormant fissures. </w:t>
            </w:r>
          </w:p>
          <w:p w14:paraId="10C165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Valley areas in volcanic landscapes</w:t>
            </w:r>
          </w:p>
        </w:tc>
      </w:tr>
      <w:tr w:rsidR="00E85045" w:rsidRPr="00E85045" w14:paraId="05BCA9CF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CA7B81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Cyclones and tsunamis</w:t>
            </w:r>
          </w:p>
          <w:p w14:paraId="594D93BB" w14:textId="77777777" w:rsidR="00E85045" w:rsidRPr="00E85045" w:rsidRDefault="00E85045" w:rsidP="00C31A29">
            <w:pPr>
              <w:spacing w:before="100" w:beforeAutospacing="1" w:after="100" w:afterAutospacing="1"/>
            </w:pPr>
          </w:p>
          <w:p w14:paraId="10295D2E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E864E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Coastal regions and island regions</w:t>
            </w:r>
          </w:p>
          <w:p w14:paraId="7774F9A4" w14:textId="77777777" w:rsidR="00E85045" w:rsidRPr="00E85045" w:rsidRDefault="00E85045" w:rsidP="00C31A29">
            <w:pPr>
              <w:spacing w:before="100" w:beforeAutospacing="1" w:after="100" w:afterAutospacing="1"/>
            </w:pP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D99FA18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Coastal belts that do not have mangroves or coral reefs</w:t>
            </w:r>
          </w:p>
          <w:p w14:paraId="771C4BB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Coastal belts that have narrow deltas</w:t>
            </w:r>
          </w:p>
          <w:p w14:paraId="1392E73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No or poor early warning systems or forecast models</w:t>
            </w:r>
          </w:p>
        </w:tc>
      </w:tr>
      <w:tr w:rsidR="00E85045" w:rsidRPr="00E85045" w14:paraId="0C9EA7C8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1CB1D9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Wildfires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83B67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Regions with deciduous forests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0428D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Deciduous landscapes with high lightning activities and thunderstorms</w:t>
            </w:r>
          </w:p>
        </w:tc>
      </w:tr>
      <w:tr w:rsidR="00E85045" w:rsidRPr="00E85045" w14:paraId="523E37AB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D974CA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Heat Waves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064172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Increased frequency of extreme daily maximum temperatures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D827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with urban heat island effects</w:t>
            </w:r>
          </w:p>
          <w:p w14:paraId="617EA2F3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with sparse tree canopy or tree cover</w:t>
            </w:r>
          </w:p>
        </w:tc>
      </w:tr>
      <w:tr w:rsidR="00E85045" w:rsidRPr="00E85045" w14:paraId="2596FDE0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EA6A7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lastRenderedPageBreak/>
              <w:t>Drought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703652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Deserts, regions with low rainfall and high evapotranspiration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84C17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Barren landscapes.</w:t>
            </w:r>
          </w:p>
          <w:p w14:paraId="3A27D80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with seasonal water bodies.</w:t>
            </w:r>
          </w:p>
        </w:tc>
      </w:tr>
      <w:tr w:rsidR="00E85045" w:rsidRPr="00E85045" w14:paraId="0BE63771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64DD9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Cloudburst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353EA6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Mountainous landscapes and valley regions below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11E5A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Areas lying in close proximity to rivers</w:t>
            </w:r>
          </w:p>
        </w:tc>
      </w:tr>
      <w:tr w:rsidR="00E85045" w:rsidRPr="00E85045" w14:paraId="28EAD633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9E9AE3D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Glacier outburst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CE18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Mountainous landscapes and valley regions below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19D247C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Observed trend of higher daily temperatures in high altitudes</w:t>
            </w:r>
          </w:p>
          <w:p w14:paraId="648DA474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Blasting and mining activities in close proximity to glaciers</w:t>
            </w:r>
          </w:p>
        </w:tc>
      </w:tr>
      <w:tr w:rsidR="00E85045" w:rsidRPr="00E85045" w14:paraId="2CBBEB3E" w14:textId="77777777" w:rsidTr="00280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363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28371F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Insects swarming farmlands</w:t>
            </w:r>
          </w:p>
        </w:tc>
        <w:tc>
          <w:tcPr>
            <w:tcW w:w="5315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D77CE0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Global and especially linked to climatic changes in regions</w:t>
            </w:r>
          </w:p>
        </w:tc>
        <w:tc>
          <w:tcPr>
            <w:tcW w:w="5308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6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6DE6455" w14:textId="77777777" w:rsidR="00E85045" w:rsidRPr="00E85045" w:rsidRDefault="00E85045" w:rsidP="00C31A29">
            <w:pPr>
              <w:spacing w:before="100" w:beforeAutospacing="1" w:after="100" w:afterAutospacing="1"/>
            </w:pPr>
            <w:r w:rsidRPr="00E85045">
              <w:t>Large swarms of insects migrating across regions (farmlands and agricultural lands are most at risk and susceptible)</w:t>
            </w:r>
          </w:p>
        </w:tc>
      </w:tr>
    </w:tbl>
    <w:p w14:paraId="23D14839" w14:textId="77777777" w:rsidR="00B126D2" w:rsidRDefault="00B126D2" w:rsidP="00B126D2">
      <w:pPr>
        <w:spacing w:before="0" w:after="0"/>
      </w:pPr>
    </w:p>
    <w:p w14:paraId="69AB8E3A" w14:textId="757C30CB" w:rsidR="00F325BA" w:rsidRDefault="00F325BA">
      <w:pPr>
        <w:spacing w:before="0" w:after="0"/>
      </w:pPr>
      <w:r>
        <w:br w:type="page"/>
      </w:r>
    </w:p>
    <w:p w14:paraId="3868C0E6" w14:textId="6751C865" w:rsidR="00F325BA" w:rsidRDefault="00F325BA" w:rsidP="00F325BA">
      <w:pPr>
        <w:pStyle w:val="Heading1"/>
      </w:pPr>
      <w:r w:rsidRPr="00F325BA">
        <w:lastRenderedPageBreak/>
        <w:t>Table 2: Hazards that are human triggered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8"/>
        <w:gridCol w:w="9399"/>
      </w:tblGrid>
      <w:tr w:rsidR="00F325BA" w:rsidRPr="00F325BA" w14:paraId="1BDD4A84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  <w:tblHeader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72C0AE" w14:textId="45B77970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shd w:val="clear" w:color="auto" w:fill="0092B6" w:themeFill="accent1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56B7FD" w14:textId="2F1F1C2D" w:rsidR="00F325BA" w:rsidRPr="00F325BA" w:rsidRDefault="00F325BA" w:rsidP="00F325BA">
            <w:pPr>
              <w:rPr>
                <w:b/>
                <w:bCs/>
                <w:color w:val="FFFFFF" w:themeColor="background1"/>
              </w:rPr>
            </w:pPr>
            <w:r w:rsidRPr="00F325BA">
              <w:rPr>
                <w:b/>
                <w:bCs/>
                <w:color w:val="FFFFFF" w:themeColor="background1"/>
              </w:rPr>
              <w:t>Local indicators of susceptibility to hazards</w:t>
            </w:r>
          </w:p>
        </w:tc>
      </w:tr>
      <w:tr w:rsidR="00F325BA" w:rsidRPr="00F325BA" w14:paraId="510796A2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0CE8740" w14:textId="77777777" w:rsidR="00F325BA" w:rsidRPr="00F325BA" w:rsidRDefault="00F325BA" w:rsidP="00C31A29">
            <w:pPr>
              <w:spacing w:before="0" w:after="0"/>
            </w:pPr>
            <w:r w:rsidRPr="00F325BA">
              <w:t>Health crisis related to an infectious disease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2757F9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t>Poor health and starving population</w:t>
            </w:r>
          </w:p>
          <w:p w14:paraId="2666CE5D" w14:textId="77777777" w:rsidR="00F325BA" w:rsidRPr="00F325BA" w:rsidRDefault="00F325BA" w:rsidP="00C31A29">
            <w:pPr>
              <w:pStyle w:val="ListParagraph"/>
              <w:numPr>
                <w:ilvl w:val="0"/>
                <w:numId w:val="20"/>
              </w:numPr>
              <w:spacing w:before="0" w:after="0"/>
            </w:pPr>
            <w:r w:rsidRPr="00F325BA">
              <w:t>Absence of robust primary health centres and network of higher-order medical facilities</w:t>
            </w:r>
          </w:p>
        </w:tc>
      </w:tr>
      <w:tr w:rsidR="00F325BA" w:rsidRPr="00F325BA" w14:paraId="01620C0C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2A9E51" w14:textId="77777777" w:rsidR="00F325BA" w:rsidRPr="00F325BA" w:rsidRDefault="00F325BA" w:rsidP="00C31A29">
            <w:pPr>
              <w:spacing w:before="0" w:after="0"/>
            </w:pPr>
            <w:r w:rsidRPr="00F325BA">
              <w:t>Fire and explosions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085E9F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t>Unregulated and unsafe chemical industries, fire-cracker making industries</w:t>
            </w:r>
          </w:p>
          <w:p w14:paraId="6522C164" w14:textId="77777777" w:rsidR="00F325BA" w:rsidRPr="00F325BA" w:rsidRDefault="00F325BA" w:rsidP="00C31A29">
            <w:pPr>
              <w:pStyle w:val="ListParagraph"/>
              <w:numPr>
                <w:ilvl w:val="0"/>
                <w:numId w:val="21"/>
              </w:numPr>
              <w:spacing w:before="0" w:after="0"/>
            </w:pPr>
            <w:r w:rsidRPr="00F325BA">
              <w:t>Unregulated, unsafe or poorly maintained gas pipelines or electricity grids</w:t>
            </w:r>
          </w:p>
        </w:tc>
      </w:tr>
      <w:tr w:rsidR="00F325BA" w:rsidRPr="00F325BA" w14:paraId="1A79A243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974DF5C" w14:textId="77777777" w:rsidR="00F325BA" w:rsidRPr="00F325BA" w:rsidRDefault="00F325BA" w:rsidP="00C31A29">
            <w:pPr>
              <w:spacing w:before="0" w:after="0"/>
            </w:pPr>
            <w:r w:rsidRPr="00F325BA">
              <w:t>Industrial hazards (air poisoning/pollution)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3A98C57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Proximity of hazardous industries or nuclear power plants to human settlements</w:t>
            </w:r>
          </w:p>
        </w:tc>
      </w:tr>
      <w:tr w:rsidR="00F325BA" w:rsidRPr="00F325BA" w14:paraId="567901D0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52AC75" w14:textId="77777777" w:rsidR="00F325BA" w:rsidRPr="00F325BA" w:rsidRDefault="00F325BA" w:rsidP="00C31A29">
            <w:pPr>
              <w:spacing w:before="0" w:after="0"/>
            </w:pPr>
            <w:r w:rsidRPr="00F325BA">
              <w:t>Industrial hazards (water poisoning/pollution)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AEEAF8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Proximity of hazardous industries or unscientific landfill sites to water bodies or regions with high water table</w:t>
            </w:r>
          </w:p>
        </w:tc>
      </w:tr>
      <w:tr w:rsidR="00F325BA" w:rsidRPr="00F325BA" w14:paraId="1B5CCA58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475A9B" w14:textId="77777777" w:rsidR="00F325BA" w:rsidRPr="00F325BA" w:rsidRDefault="00F325BA" w:rsidP="00C31A29">
            <w:pPr>
              <w:spacing w:before="0" w:after="0"/>
            </w:pPr>
            <w:r w:rsidRPr="00F325BA">
              <w:t>Industrial hazards (soil/land pollution)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B6BE889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Agricultural belts with heavy fertiliser or pesticide usage</w:t>
            </w:r>
          </w:p>
          <w:p w14:paraId="75C4D643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Unscientific landfill sites and waste dumping grounds</w:t>
            </w:r>
          </w:p>
        </w:tc>
      </w:tr>
      <w:tr w:rsidR="00F325BA" w:rsidRPr="00F325BA" w14:paraId="3F3BAEAF" w14:textId="77777777" w:rsidTr="00C31A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48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1CB4B23" w14:textId="77777777" w:rsidR="00F325BA" w:rsidRPr="00F325BA" w:rsidRDefault="00F325BA" w:rsidP="00C31A29">
            <w:pPr>
              <w:spacing w:before="0" w:after="0"/>
            </w:pPr>
            <w:r w:rsidRPr="00F325BA">
              <w:t>Dam break</w:t>
            </w:r>
          </w:p>
        </w:tc>
        <w:tc>
          <w:tcPr>
            <w:tcW w:w="9399" w:type="dxa"/>
            <w:tcBorders>
              <w:top w:val="single" w:sz="6" w:space="0" w:color="CECECE"/>
              <w:left w:val="single" w:sz="4" w:space="0" w:color="CECECE"/>
              <w:bottom w:val="single" w:sz="6" w:space="0" w:color="CECECE"/>
              <w:right w:val="single" w:sz="4" w:space="0" w:color="CECECE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F0E6E41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Blasting and mining activities near dams</w:t>
            </w:r>
          </w:p>
          <w:p w14:paraId="67A8AD12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Dams located near fault lines and in earthquake prone regions</w:t>
            </w:r>
          </w:p>
          <w:p w14:paraId="4D047650" w14:textId="77777777" w:rsidR="00F325BA" w:rsidRPr="00F325BA" w:rsidRDefault="00F325BA" w:rsidP="00C31A29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F325BA">
              <w:t>High erosion rates in the catchment region of the dam</w:t>
            </w:r>
          </w:p>
        </w:tc>
      </w:tr>
    </w:tbl>
    <w:p w14:paraId="629312E1" w14:textId="77777777" w:rsidR="00F325BA" w:rsidRPr="00282B10" w:rsidRDefault="00F325BA" w:rsidP="007E6D08"/>
    <w:sectPr w:rsidR="00F325BA" w:rsidRPr="00282B10" w:rsidSect="00F325BA">
      <w:footerReference w:type="even" r:id="rId8"/>
      <w:footerReference w:type="default" r:id="rId9"/>
      <w:headerReference w:type="first" r:id="rId10"/>
      <w:footerReference w:type="first" r:id="rId11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07D1" w14:textId="77777777" w:rsidR="00402559" w:rsidRDefault="00402559" w:rsidP="00F06EE9">
      <w:r>
        <w:separator/>
      </w:r>
    </w:p>
  </w:endnote>
  <w:endnote w:type="continuationSeparator" w:id="0">
    <w:p w14:paraId="2D9EDBB2" w14:textId="77777777" w:rsidR="00402559" w:rsidRDefault="00402559" w:rsidP="00F0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ed Hat Text">
    <w:panose1 w:val="02010503040201060303"/>
    <w:charset w:val="00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5111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CDC93" w14:textId="77777777" w:rsidR="00837B36" w:rsidRDefault="00837B36" w:rsidP="006B51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36B006" w14:textId="77777777" w:rsidR="00837B36" w:rsidRDefault="00837B36" w:rsidP="00837B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937111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F2732" w14:textId="77777777" w:rsidR="00837B36" w:rsidRPr="00D64625" w:rsidRDefault="00837B36" w:rsidP="00837B36">
        <w:pPr>
          <w:pStyle w:val="Footer"/>
          <w:framePr w:wrap="none" w:vAnchor="text" w:hAnchor="margin" w:xAlign="right" w:y="-213"/>
          <w:rPr>
            <w:rStyle w:val="PageNumber"/>
            <w:sz w:val="16"/>
            <w:szCs w:val="16"/>
          </w:rPr>
        </w:pPr>
        <w:r w:rsidRPr="00D64625">
          <w:rPr>
            <w:rStyle w:val="PageNumber"/>
            <w:sz w:val="16"/>
            <w:szCs w:val="16"/>
          </w:rPr>
          <w:fldChar w:fldCharType="begin"/>
        </w:r>
        <w:r w:rsidRPr="00D64625">
          <w:rPr>
            <w:rStyle w:val="PageNumber"/>
            <w:sz w:val="16"/>
            <w:szCs w:val="16"/>
          </w:rPr>
          <w:instrText xml:space="preserve"> PAGE </w:instrText>
        </w:r>
        <w:r w:rsidRPr="00D64625">
          <w:rPr>
            <w:rStyle w:val="PageNumber"/>
            <w:sz w:val="16"/>
            <w:szCs w:val="16"/>
          </w:rPr>
          <w:fldChar w:fldCharType="separate"/>
        </w:r>
        <w:r w:rsidRPr="00D64625">
          <w:rPr>
            <w:rStyle w:val="PageNumber"/>
            <w:noProof/>
            <w:sz w:val="16"/>
            <w:szCs w:val="16"/>
          </w:rPr>
          <w:t>3</w:t>
        </w:r>
        <w:r w:rsidRPr="00D64625">
          <w:rPr>
            <w:rStyle w:val="PageNumber"/>
            <w:sz w:val="16"/>
            <w:szCs w:val="16"/>
          </w:rPr>
          <w:fldChar w:fldCharType="end"/>
        </w:r>
      </w:p>
    </w:sdtContent>
  </w:sdt>
  <w:p w14:paraId="496F7EBB" w14:textId="77777777" w:rsidR="00837B36" w:rsidRPr="00D64625" w:rsidRDefault="00837B36" w:rsidP="00730C5F">
    <w:pPr>
      <w:pStyle w:val="Heading5"/>
      <w:rPr>
        <w:sz w:val="16"/>
        <w:szCs w:val="16"/>
      </w:rPr>
    </w:pPr>
    <w:r w:rsidRPr="00D64625">
      <w:rPr>
        <w:sz w:val="16"/>
        <w:szCs w:val="16"/>
      </w:rPr>
      <w:t>gndr.org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DA9D" w14:textId="77777777" w:rsidR="00F06EE9" w:rsidRPr="00655FE8" w:rsidRDefault="00F06EE9" w:rsidP="00730C5F">
    <w:pPr>
      <w:pStyle w:val="Heading5"/>
      <w:rPr>
        <w:sz w:val="18"/>
        <w:szCs w:val="18"/>
      </w:rPr>
    </w:pPr>
    <w:r w:rsidRPr="00655FE8">
      <w:rPr>
        <w:sz w:val="18"/>
        <w:szCs w:val="18"/>
      </w:rPr>
      <w:t> </w:t>
    </w:r>
  </w:p>
  <w:p w14:paraId="3C889ABE" w14:textId="77777777" w:rsidR="00F06EE9" w:rsidRPr="00805923" w:rsidRDefault="00F06EE9" w:rsidP="00730C5F">
    <w:pPr>
      <w:pStyle w:val="Heading5"/>
      <w:rPr>
        <w:b/>
        <w:bCs/>
        <w:color w:val="0092B6" w:themeColor="accent1"/>
        <w:sz w:val="16"/>
        <w:szCs w:val="16"/>
      </w:rPr>
    </w:pPr>
    <w:r w:rsidRPr="00805923">
      <w:rPr>
        <w:b/>
        <w:bCs/>
        <w:color w:val="0092B6" w:themeColor="accent1"/>
        <w:sz w:val="16"/>
        <w:szCs w:val="16"/>
      </w:rPr>
      <w:t>Global Network of Civil Society Organisations for Disaster Reduction (GNDR)</w:t>
    </w:r>
  </w:p>
  <w:p w14:paraId="5FA53F77" w14:textId="77777777" w:rsidR="00F06EE9" w:rsidRPr="00655FE8" w:rsidRDefault="00F06EE9" w:rsidP="00730C5F">
    <w:pPr>
      <w:pStyle w:val="Heading5"/>
      <w:rPr>
        <w:sz w:val="16"/>
        <w:szCs w:val="16"/>
      </w:rPr>
    </w:pPr>
    <w:r w:rsidRPr="00655FE8">
      <w:rPr>
        <w:sz w:val="16"/>
        <w:szCs w:val="16"/>
      </w:rPr>
      <w:t>Registered charity no. 1141471</w:t>
    </w:r>
    <w:r w:rsidR="00D64625">
      <w:rPr>
        <w:sz w:val="16"/>
        <w:szCs w:val="16"/>
      </w:rPr>
      <w:t xml:space="preserve">. </w:t>
    </w:r>
    <w:r w:rsidRPr="00655FE8">
      <w:rPr>
        <w:sz w:val="16"/>
        <w:szCs w:val="16"/>
      </w:rPr>
      <w:t xml:space="preserve">Company limited by guarantee registered in England &amp; Wales no. 07374358 </w:t>
    </w:r>
    <w:r w:rsidRPr="00655FE8">
      <w:rPr>
        <w:sz w:val="16"/>
        <w:szCs w:val="16"/>
      </w:rPr>
      <w:br/>
      <w:t>Registered office: 8 Waldegrave Rd, Teddington, London, TW11 8HT, UK</w:t>
    </w:r>
    <w:r w:rsidRPr="00655FE8">
      <w:rPr>
        <w:sz w:val="16"/>
        <w:szCs w:val="16"/>
      </w:rPr>
      <w:br/>
      <w:t>+44 (0)2089 777726 | info@gndr.org | gndr.org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2C0D" w14:textId="77777777" w:rsidR="00402559" w:rsidRDefault="00402559" w:rsidP="00F06EE9">
      <w:r>
        <w:separator/>
      </w:r>
    </w:p>
  </w:footnote>
  <w:footnote w:type="continuationSeparator" w:id="0">
    <w:p w14:paraId="042424B2" w14:textId="77777777" w:rsidR="00402559" w:rsidRDefault="00402559" w:rsidP="00F0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1E5" w14:textId="77777777" w:rsidR="00F06EE9" w:rsidRDefault="00F06EE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4AD52" wp14:editId="19D9DF8F">
          <wp:simplePos x="0" y="0"/>
          <wp:positionH relativeFrom="column">
            <wp:posOffset>-201930</wp:posOffset>
          </wp:positionH>
          <wp:positionV relativeFrom="paragraph">
            <wp:posOffset>-171790</wp:posOffset>
          </wp:positionV>
          <wp:extent cx="2257856" cy="107736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856" cy="1077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8B710" w14:textId="77777777" w:rsidR="00F06EE9" w:rsidRDefault="00F06EE9">
    <w:pPr>
      <w:pStyle w:val="Header"/>
    </w:pPr>
  </w:p>
  <w:p w14:paraId="70E3B57B" w14:textId="77777777" w:rsidR="00F06EE9" w:rsidRDefault="00F0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FB3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C7A65"/>
    <w:multiLevelType w:val="hybridMultilevel"/>
    <w:tmpl w:val="222C4E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72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68B7"/>
    <w:multiLevelType w:val="hybridMultilevel"/>
    <w:tmpl w:val="A49C8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0EB"/>
    <w:multiLevelType w:val="multilevel"/>
    <w:tmpl w:val="969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A1FD3"/>
    <w:multiLevelType w:val="hybridMultilevel"/>
    <w:tmpl w:val="3E28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7D8"/>
    <w:multiLevelType w:val="hybridMultilevel"/>
    <w:tmpl w:val="F322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1B43"/>
    <w:multiLevelType w:val="multilevel"/>
    <w:tmpl w:val="251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977AF"/>
    <w:multiLevelType w:val="hybridMultilevel"/>
    <w:tmpl w:val="B19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35A2"/>
    <w:multiLevelType w:val="hybridMultilevel"/>
    <w:tmpl w:val="B034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6608F"/>
    <w:multiLevelType w:val="hybridMultilevel"/>
    <w:tmpl w:val="3496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267CE"/>
    <w:multiLevelType w:val="hybridMultilevel"/>
    <w:tmpl w:val="FF30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4CA3"/>
    <w:multiLevelType w:val="multilevel"/>
    <w:tmpl w:val="816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626E1"/>
    <w:multiLevelType w:val="hybridMultilevel"/>
    <w:tmpl w:val="59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83581"/>
    <w:multiLevelType w:val="hybridMultilevel"/>
    <w:tmpl w:val="A9A2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35D52"/>
    <w:multiLevelType w:val="hybridMultilevel"/>
    <w:tmpl w:val="BB009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77224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00A08"/>
    <w:multiLevelType w:val="hybridMultilevel"/>
    <w:tmpl w:val="92A2E7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5CEA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1C1"/>
    <w:multiLevelType w:val="hybridMultilevel"/>
    <w:tmpl w:val="92A2E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B719B"/>
    <w:multiLevelType w:val="hybridMultilevel"/>
    <w:tmpl w:val="222C4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57C26"/>
    <w:multiLevelType w:val="hybridMultilevel"/>
    <w:tmpl w:val="622A5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5"/>
  </w:num>
  <w:num w:numId="7">
    <w:abstractNumId w:val="20"/>
  </w:num>
  <w:num w:numId="8">
    <w:abstractNumId w:val="1"/>
  </w:num>
  <w:num w:numId="9">
    <w:abstractNumId w:val="19"/>
  </w:num>
  <w:num w:numId="10">
    <w:abstractNumId w:val="3"/>
  </w:num>
  <w:num w:numId="11">
    <w:abstractNumId w:val="13"/>
  </w:num>
  <w:num w:numId="12">
    <w:abstractNumId w:val="2"/>
  </w:num>
  <w:num w:numId="13">
    <w:abstractNumId w:val="17"/>
  </w:num>
  <w:num w:numId="14">
    <w:abstractNumId w:val="16"/>
  </w:num>
  <w:num w:numId="15">
    <w:abstractNumId w:val="21"/>
  </w:num>
  <w:num w:numId="16">
    <w:abstractNumId w:val="0"/>
  </w:num>
  <w:num w:numId="17">
    <w:abstractNumId w:val="18"/>
  </w:num>
  <w:num w:numId="18">
    <w:abstractNumId w:val="6"/>
  </w:num>
  <w:num w:numId="19">
    <w:abstractNumId w:val="9"/>
  </w:num>
  <w:num w:numId="20">
    <w:abstractNumId w:val="1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1"/>
    <w:rsid w:val="00017244"/>
    <w:rsid w:val="00092142"/>
    <w:rsid w:val="000B5413"/>
    <w:rsid w:val="000E1B54"/>
    <w:rsid w:val="000E6F09"/>
    <w:rsid w:val="0013762E"/>
    <w:rsid w:val="002229E0"/>
    <w:rsid w:val="00280992"/>
    <w:rsid w:val="00282B10"/>
    <w:rsid w:val="002949EB"/>
    <w:rsid w:val="002C2965"/>
    <w:rsid w:val="002C3339"/>
    <w:rsid w:val="00306C15"/>
    <w:rsid w:val="00326FB6"/>
    <w:rsid w:val="003468B8"/>
    <w:rsid w:val="003476EE"/>
    <w:rsid w:val="003E2AC4"/>
    <w:rsid w:val="00402559"/>
    <w:rsid w:val="004619BA"/>
    <w:rsid w:val="004A56E7"/>
    <w:rsid w:val="004B7360"/>
    <w:rsid w:val="005470BD"/>
    <w:rsid w:val="00592DF1"/>
    <w:rsid w:val="00596181"/>
    <w:rsid w:val="005B2EA8"/>
    <w:rsid w:val="0060336F"/>
    <w:rsid w:val="00605CE7"/>
    <w:rsid w:val="00655FE8"/>
    <w:rsid w:val="00682E3F"/>
    <w:rsid w:val="006840C2"/>
    <w:rsid w:val="00730C5F"/>
    <w:rsid w:val="007B616E"/>
    <w:rsid w:val="007E6D08"/>
    <w:rsid w:val="00805923"/>
    <w:rsid w:val="00837B36"/>
    <w:rsid w:val="00856DB5"/>
    <w:rsid w:val="008C18B1"/>
    <w:rsid w:val="008D28D0"/>
    <w:rsid w:val="00910982"/>
    <w:rsid w:val="009D4F9E"/>
    <w:rsid w:val="00A57A9D"/>
    <w:rsid w:val="00A72882"/>
    <w:rsid w:val="00B10461"/>
    <w:rsid w:val="00B126D2"/>
    <w:rsid w:val="00B30BDD"/>
    <w:rsid w:val="00BD7DD4"/>
    <w:rsid w:val="00C31A29"/>
    <w:rsid w:val="00C8433F"/>
    <w:rsid w:val="00D01739"/>
    <w:rsid w:val="00D358E6"/>
    <w:rsid w:val="00D46DD9"/>
    <w:rsid w:val="00D64625"/>
    <w:rsid w:val="00DA6BFC"/>
    <w:rsid w:val="00E0127E"/>
    <w:rsid w:val="00E756D9"/>
    <w:rsid w:val="00E85045"/>
    <w:rsid w:val="00EC5CD7"/>
    <w:rsid w:val="00EE4E40"/>
    <w:rsid w:val="00EF4631"/>
    <w:rsid w:val="00F06EE9"/>
    <w:rsid w:val="00F325BA"/>
    <w:rsid w:val="00FB5845"/>
    <w:rsid w:val="00FB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5DB7"/>
  <w15:chartTrackingRefBased/>
  <w15:docId w15:val="{24708285-1E76-FA4E-BCB4-DF078C83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739"/>
    <w:pPr>
      <w:spacing w:before="200" w:after="200"/>
    </w:pPr>
    <w:rPr>
      <w:rFonts w:ascii="Verdana" w:eastAsia="Times New Roman" w:hAnsi="Verdana" w:cs="Times New Roman"/>
      <w:color w:val="5B5B5B"/>
      <w:sz w:val="22"/>
      <w:szCs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EE9"/>
    <w:pPr>
      <w:spacing w:before="600"/>
      <w:outlineLvl w:val="0"/>
    </w:pPr>
    <w:rPr>
      <w:b/>
      <w:bCs/>
      <w:color w:val="0092B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6EE9"/>
    <w:pPr>
      <w:spacing w:before="360" w:after="160"/>
      <w:outlineLvl w:val="1"/>
    </w:pPr>
    <w:rPr>
      <w:color w:val="F59C00"/>
      <w:sz w:val="25"/>
      <w:szCs w:val="25"/>
    </w:rPr>
  </w:style>
  <w:style w:type="paragraph" w:styleId="Heading3">
    <w:name w:val="heading 3"/>
    <w:basedOn w:val="Normal"/>
    <w:link w:val="Heading3Char"/>
    <w:uiPriority w:val="9"/>
    <w:qFormat/>
    <w:rsid w:val="00592DF1"/>
    <w:pPr>
      <w:spacing w:before="360" w:after="160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F06EE9"/>
    <w:pPr>
      <w:spacing w:before="360" w:after="160"/>
      <w:outlineLvl w:val="3"/>
    </w:pPr>
    <w:rPr>
      <w:color w:val="0092B6"/>
    </w:rPr>
  </w:style>
  <w:style w:type="paragraph" w:styleId="Heading5">
    <w:name w:val="heading 5"/>
    <w:basedOn w:val="Normal"/>
    <w:link w:val="Heading5Char"/>
    <w:uiPriority w:val="9"/>
    <w:qFormat/>
    <w:rsid w:val="00730C5F"/>
    <w:pPr>
      <w:spacing w:before="60" w:after="60"/>
      <w:outlineLvl w:val="4"/>
    </w:pPr>
    <w:rPr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06EE9"/>
    <w:pPr>
      <w:spacing w:before="60" w:after="60"/>
      <w:outlineLvl w:val="5"/>
    </w:pPr>
    <w:rPr>
      <w:color w:val="FFFFFF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EE9"/>
    <w:rPr>
      <w:rFonts w:ascii="Verdana" w:eastAsia="Times New Roman" w:hAnsi="Verdana" w:cs="Times New Roman"/>
      <w:b/>
      <w:bCs/>
      <w:color w:val="0092B6"/>
      <w:kern w:val="36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EE9"/>
    <w:rPr>
      <w:rFonts w:ascii="Verdana" w:eastAsia="Times New Roman" w:hAnsi="Verdana" w:cs="Times New Roman"/>
      <w:color w:val="F59C00"/>
      <w:sz w:val="25"/>
      <w:szCs w:val="25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2DF1"/>
    <w:rPr>
      <w:rFonts w:ascii="Verdana" w:eastAsia="Times New Roman" w:hAnsi="Verdana" w:cs="Times New Roman"/>
      <w:b/>
      <w:bCs/>
      <w:color w:val="5B5B5B"/>
      <w:sz w:val="22"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06EE9"/>
    <w:rPr>
      <w:rFonts w:ascii="Verdana" w:eastAsia="Times New Roman" w:hAnsi="Verdana" w:cs="Times New Roman"/>
      <w:color w:val="0092B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30C5F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F06EE9"/>
    <w:rPr>
      <w:rFonts w:ascii="Verdana" w:eastAsia="Times New Roman" w:hAnsi="Verdana" w:cs="Times New Roman"/>
      <w:color w:val="FFFFFF"/>
      <w:sz w:val="23"/>
      <w:szCs w:val="2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EE9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06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EE9"/>
  </w:style>
  <w:style w:type="paragraph" w:styleId="Footer">
    <w:name w:val="footer"/>
    <w:basedOn w:val="Normal"/>
    <w:link w:val="FooterChar"/>
    <w:uiPriority w:val="99"/>
    <w:unhideWhenUsed/>
    <w:rsid w:val="00F06E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EE9"/>
  </w:style>
  <w:style w:type="paragraph" w:styleId="Title">
    <w:name w:val="Title"/>
    <w:basedOn w:val="Normal"/>
    <w:next w:val="Normal"/>
    <w:link w:val="TitleChar"/>
    <w:uiPriority w:val="10"/>
    <w:qFormat/>
    <w:rsid w:val="00282B10"/>
    <w:pPr>
      <w:spacing w:after="240"/>
    </w:pPr>
    <w:rPr>
      <w:b/>
      <w:bCs/>
      <w:color w:val="0092B6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82B10"/>
    <w:rPr>
      <w:rFonts w:ascii="Verdana" w:eastAsia="Times New Roman" w:hAnsi="Verdana" w:cs="Times New Roman"/>
      <w:b/>
      <w:bCs/>
      <w:color w:val="0092B6"/>
      <w:sz w:val="48"/>
      <w:szCs w:val="4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EE9"/>
    <w:pPr>
      <w:spacing w:before="100" w:after="300"/>
    </w:pPr>
    <w:rPr>
      <w:color w:val="F59C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6EE9"/>
    <w:rPr>
      <w:rFonts w:ascii="Verdana" w:eastAsia="Times New Roman" w:hAnsi="Verdana" w:cs="Times New Roman"/>
      <w:color w:val="F59C0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rsid w:val="00F06EE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37B36"/>
  </w:style>
  <w:style w:type="table" w:styleId="ColourfulGrid">
    <w:name w:val="Colorful Grid"/>
    <w:basedOn w:val="TableNormal"/>
    <w:uiPriority w:val="73"/>
    <w:semiHidden/>
    <w:unhideWhenUsed/>
    <w:rsid w:val="00A57A9D"/>
    <w:rPr>
      <w:color w:val="5B5B5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text1" w:themeFillTint="33"/>
    </w:tcPr>
    <w:tblStylePr w:type="firstRow">
      <w:rPr>
        <w:b/>
        <w:bCs/>
      </w:rPr>
      <w:tblPr/>
      <w:tcPr>
        <w:shd w:val="clear" w:color="auto" w:fill="BDBDBD" w:themeFill="text1" w:themeFillTint="66"/>
      </w:tcPr>
    </w:tblStylePr>
    <w:tblStylePr w:type="lastRow">
      <w:rPr>
        <w:b/>
        <w:bCs/>
        <w:color w:val="5B5B5B" w:themeColor="text1"/>
      </w:rPr>
      <w:tblPr/>
      <w:tcPr>
        <w:shd w:val="clear" w:color="auto" w:fill="BDBD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44444" w:themeFill="text1" w:themeFillShade="BF"/>
      </w:tcPr>
    </w:tblStylePr>
    <w:tblStylePr w:type="band1Vert">
      <w:tblPr/>
      <w:tcPr>
        <w:shd w:val="clear" w:color="auto" w:fill="ADADAD" w:themeFill="text1" w:themeFillTint="7F"/>
      </w:tcPr>
    </w:tblStylePr>
    <w:tblStylePr w:type="band1Horz">
      <w:tblPr/>
      <w:tcPr>
        <w:shd w:val="clear" w:color="auto" w:fill="ADADAD" w:themeFill="text1" w:themeFillTint="7F"/>
      </w:tcPr>
    </w:tblStylePr>
  </w:style>
  <w:style w:type="table" w:styleId="TableGrid">
    <w:name w:val="Table Grid"/>
    <w:basedOn w:val="TableNormal"/>
    <w:uiPriority w:val="39"/>
    <w:rsid w:val="0013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B10461"/>
    <w:pPr>
      <w:autoSpaceDE w:val="0"/>
      <w:autoSpaceDN w:val="0"/>
      <w:adjustRightInd w:val="0"/>
      <w:spacing w:line="288" w:lineRule="auto"/>
      <w:textAlignment w:val="center"/>
    </w:pPr>
    <w:rPr>
      <w:rFonts w:ascii="Red Hat Text" w:hAnsi="Red Hat Text" w:cs="Times New Roman"/>
      <w:color w:val="000000"/>
    </w:rPr>
  </w:style>
  <w:style w:type="paragraph" w:customStyle="1" w:styleId="Bodycopy11132">
    <w:name w:val="Body copy 11/13.2"/>
    <w:basedOn w:val="NoParagraphStyle"/>
    <w:uiPriority w:val="99"/>
    <w:rsid w:val="00B10461"/>
    <w:pPr>
      <w:suppressAutoHyphens/>
      <w:spacing w:after="113"/>
    </w:pPr>
    <w:rPr>
      <w:rFonts w:cs="Red Hat Text"/>
      <w:color w:val="5B5B5B"/>
      <w:sz w:val="22"/>
      <w:szCs w:val="22"/>
    </w:rPr>
  </w:style>
  <w:style w:type="paragraph" w:customStyle="1" w:styleId="Heading4blue">
    <w:name w:val="Heading 4 (blue)"/>
    <w:basedOn w:val="Heading3"/>
    <w:next w:val="Bodycopy11132"/>
    <w:uiPriority w:val="99"/>
    <w:rsid w:val="00B10461"/>
    <w:pPr>
      <w:suppressAutoHyphens/>
      <w:autoSpaceDE w:val="0"/>
      <w:autoSpaceDN w:val="0"/>
      <w:adjustRightInd w:val="0"/>
      <w:spacing w:before="170" w:after="113" w:line="288" w:lineRule="auto"/>
      <w:textAlignment w:val="center"/>
      <w:outlineLvl w:val="9"/>
    </w:pPr>
    <w:rPr>
      <w:rFonts w:ascii="Red Hat Text" w:eastAsiaTheme="minorHAnsi" w:hAnsi="Red Hat Text" w:cs="Red Hat Text"/>
      <w:color w:val="0099CC"/>
      <w:sz w:val="24"/>
      <w:szCs w:val="24"/>
      <w:lang w:eastAsia="en-US"/>
    </w:rPr>
  </w:style>
  <w:style w:type="character" w:customStyle="1" w:styleId="Orangearrowfordownloadlink">
    <w:name w:val="Orange arrow for download link"/>
    <w:uiPriority w:val="99"/>
    <w:rsid w:val="00B10461"/>
    <w:rPr>
      <w:color w:val="F59C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0B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0BD"/>
    <w:rPr>
      <w:rFonts w:ascii="Verdana" w:eastAsia="Times New Roman" w:hAnsi="Verdana" w:cs="Times New Roman"/>
      <w:color w:val="5B5B5B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47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Resources/Brand/Word%20Templates/External%20Document%20Template%20(Word).dotx" TargetMode="External"/></Relationships>
</file>

<file path=word/theme/theme1.xml><?xml version="1.0" encoding="utf-8"?>
<a:theme xmlns:a="http://schemas.openxmlformats.org/drawingml/2006/main" name="Office Theme">
  <a:themeElements>
    <a:clrScheme name="GNDR Colours">
      <a:dk1>
        <a:srgbClr val="5B5B5B"/>
      </a:dk1>
      <a:lt1>
        <a:srgbClr val="FFFFFF"/>
      </a:lt1>
      <a:dk2>
        <a:srgbClr val="5B5B5B"/>
      </a:dk2>
      <a:lt2>
        <a:srgbClr val="CECECE"/>
      </a:lt2>
      <a:accent1>
        <a:srgbClr val="0092B6"/>
      </a:accent1>
      <a:accent2>
        <a:srgbClr val="F59C00"/>
      </a:accent2>
      <a:accent3>
        <a:srgbClr val="5B5B5B"/>
      </a:accent3>
      <a:accent4>
        <a:srgbClr val="40ADC8"/>
      </a:accent4>
      <a:accent5>
        <a:srgbClr val="F8B540"/>
      </a:accent5>
      <a:accent6>
        <a:srgbClr val="80C8DB"/>
      </a:accent6>
      <a:hlink>
        <a:srgbClr val="0092B6"/>
      </a:hlink>
      <a:folHlink>
        <a:srgbClr val="40ADC8"/>
      </a:folHlink>
    </a:clrScheme>
    <a:fontScheme name="GNDR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4CC6-E489-4942-95BA-2A5DD5DE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Document Template (Word).dotx</Template>
  <TotalTime>14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2022-01-10T11:49:00Z</dcterms:created>
  <dcterms:modified xsi:type="dcterms:W3CDTF">2022-01-10T12:07:00Z</dcterms:modified>
</cp:coreProperties>
</file>