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292D" w14:textId="76974E43" w:rsidR="00856DB5" w:rsidRDefault="0079716F" w:rsidP="00856DB5">
      <w:pPr>
        <w:pStyle w:val="Title"/>
      </w:pPr>
      <w:r w:rsidRPr="0079716F">
        <w:rPr>
          <w:lang w:bidi="pt-PT"/>
        </w:rPr>
        <w:t>Modelo da Análise SWOT</w:t>
      </w:r>
    </w:p>
    <w:p w14:paraId="311EFF6F" w14:textId="6144A77B" w:rsidR="00856DB5" w:rsidRPr="00856DB5" w:rsidRDefault="00856DB5" w:rsidP="00856DB5">
      <w:pPr>
        <w:pStyle w:val="Heading2"/>
      </w:pPr>
      <w:r>
        <w:rPr>
          <w:lang w:bidi="pt-PT"/>
        </w:rPr>
        <w:t>Guia de Desenvolvimento baseado no Conhecimento dos Riscos: Ferramenta 7</w:t>
      </w:r>
    </w:p>
    <w:p w14:paraId="326CFB6F" w14:textId="77777777" w:rsidR="0079716F" w:rsidRDefault="0079716F" w:rsidP="0079716F">
      <w:r>
        <w:rPr>
          <w:lang w:bidi="pt-PT"/>
        </w:rPr>
        <w:t>A análise dos pontos fortes, pontos fracos, oportunidades e ameaças (SWOT) pode ser utilizada para definir os riscos prioritários que devem ser abordados de forma participativa.</w:t>
      </w:r>
    </w:p>
    <w:p w14:paraId="23E0E0A9" w14:textId="77777777" w:rsidR="0079716F" w:rsidRDefault="0079716F" w:rsidP="0079716F">
      <w:pPr>
        <w:pStyle w:val="Heading1"/>
      </w:pPr>
      <w:r>
        <w:rPr>
          <w:lang w:bidi="pt-PT"/>
        </w:rPr>
        <w:t>Como realizar uma análise SWOT</w:t>
      </w:r>
    </w:p>
    <w:p w14:paraId="051779E8" w14:textId="6BDB84FF" w:rsidR="0079716F" w:rsidRDefault="0079716F" w:rsidP="0079716F">
      <w:r>
        <w:rPr>
          <w:lang w:bidi="pt-PT"/>
        </w:rPr>
        <w:t xml:space="preserve">Para realizar uma análise SWOT, os grupos devem começar por identificar os pontos fortes e fracos a nível interno. Estes podem dizer respeito às pessoas (fatores sociais, económicos e culturais), ao local (ambiente físico, serviços ecossistémicos) e aos sistemas (instituições, mecanismos, fatores políticos e de governação). </w:t>
      </w:r>
    </w:p>
    <w:p w14:paraId="70AC69D5" w14:textId="77777777" w:rsidR="0079716F" w:rsidRDefault="0079716F" w:rsidP="0079716F">
      <w:r>
        <w:rPr>
          <w:lang w:bidi="pt-PT"/>
        </w:rPr>
        <w:t xml:space="preserve">Devem estar relacionados com as pessoas que se organizaram para realizar o planeamento do desenvolvimento baseado no conhecimento dos riscos e aquelas que participam ou estão representadas na análise SWOT. </w:t>
      </w:r>
    </w:p>
    <w:p w14:paraId="21650532" w14:textId="77777777" w:rsidR="0079716F" w:rsidRDefault="0079716F" w:rsidP="0079716F">
      <w:r>
        <w:rPr>
          <w:lang w:bidi="pt-PT"/>
        </w:rPr>
        <w:t xml:space="preserve">Em seguida, os grupos devem indicar as ameaças e oportunidades externas. Estas devem estar relacionadas com o ambiente em geral ou as partes interessadas e os responsáveis que não estão diretamente envolvidos no processo emergente. </w:t>
      </w:r>
    </w:p>
    <w:p w14:paraId="3B850989" w14:textId="77777777" w:rsidR="0079716F" w:rsidRDefault="0079716F" w:rsidP="0079716F">
      <w:r>
        <w:rPr>
          <w:lang w:bidi="pt-PT"/>
        </w:rPr>
        <w:t xml:space="preserve">Podem ser utilizadas informações de outras fontes, tais como conhecimentos obtidos através de outras ferramentas utilizadas no processo do desenvolvimento baseado no conhecimento dos riscos. </w:t>
      </w:r>
    </w:p>
    <w:p w14:paraId="07EE4C1F" w14:textId="464031B5" w:rsidR="0079716F" w:rsidRDefault="0079716F" w:rsidP="0079716F">
      <w:r>
        <w:rPr>
          <w:lang w:bidi="pt-PT"/>
        </w:rPr>
        <w:t>As respostas podem ser apresentadas numa tabela grande (como aquela exibida na página seguinte) para que todas as pessoas as vejam.</w:t>
      </w:r>
    </w:p>
    <w:p w14:paraId="27BFD5BB" w14:textId="05772CC5" w:rsidR="0079716F" w:rsidRDefault="0079716F" w:rsidP="0079716F"/>
    <w:tbl>
      <w:tblPr>
        <w:tblStyle w:val="TableGrid"/>
        <w:tblW w:w="14034" w:type="dxa"/>
        <w:tblInd w:w="-5" w:type="dxa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6946"/>
        <w:gridCol w:w="7088"/>
      </w:tblGrid>
      <w:tr w:rsidR="0079716F" w14:paraId="4A408C4A" w14:textId="77777777" w:rsidTr="0079716F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56B68954" w14:textId="548510B8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pt-PT"/>
              </w:rPr>
              <w:t>Pontos fortes</w:t>
            </w:r>
          </w:p>
        </w:tc>
        <w:tc>
          <w:tcPr>
            <w:tcW w:w="7088" w:type="dxa"/>
            <w:shd w:val="clear" w:color="auto" w:fill="0092B6" w:themeFill="accent1"/>
          </w:tcPr>
          <w:p w14:paraId="33BF3AD3" w14:textId="5A44FF44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pt-PT"/>
              </w:rPr>
              <w:t>Oportunidades</w:t>
            </w:r>
          </w:p>
        </w:tc>
      </w:tr>
      <w:tr w:rsidR="0079716F" w14:paraId="3492426C" w14:textId="77777777" w:rsidTr="0079716F">
        <w:tc>
          <w:tcPr>
            <w:tcW w:w="6946" w:type="dxa"/>
          </w:tcPr>
          <w:p w14:paraId="00766024" w14:textId="77777777" w:rsidR="0079716F" w:rsidRDefault="0079716F" w:rsidP="001F40B0">
            <w:r>
              <w:rPr>
                <w:lang w:bidi="pt-PT"/>
              </w:rPr>
              <w:t xml:space="preserve">1. </w:t>
            </w:r>
          </w:p>
          <w:p w14:paraId="4BEBE9C5" w14:textId="77777777" w:rsidR="0079716F" w:rsidRDefault="0079716F" w:rsidP="001F40B0">
            <w:r>
              <w:rPr>
                <w:lang w:bidi="pt-PT"/>
              </w:rPr>
              <w:t xml:space="preserve">2. </w:t>
            </w:r>
          </w:p>
          <w:p w14:paraId="695C3D2D" w14:textId="6A436D76" w:rsidR="0079716F" w:rsidRDefault="0079716F" w:rsidP="001F40B0">
            <w:r>
              <w:rPr>
                <w:lang w:bidi="pt-PT"/>
              </w:rPr>
              <w:t xml:space="preserve">3. </w:t>
            </w:r>
          </w:p>
        </w:tc>
        <w:tc>
          <w:tcPr>
            <w:tcW w:w="7088" w:type="dxa"/>
          </w:tcPr>
          <w:p w14:paraId="24A8E6F5" w14:textId="77777777" w:rsidR="0079716F" w:rsidRDefault="0079716F" w:rsidP="0079716F">
            <w:r>
              <w:rPr>
                <w:lang w:bidi="pt-PT"/>
              </w:rPr>
              <w:t xml:space="preserve">1. </w:t>
            </w:r>
          </w:p>
          <w:p w14:paraId="7EB115A0" w14:textId="77777777" w:rsidR="0079716F" w:rsidRDefault="0079716F" w:rsidP="0079716F">
            <w:r>
              <w:rPr>
                <w:lang w:bidi="pt-PT"/>
              </w:rPr>
              <w:t xml:space="preserve">2. </w:t>
            </w:r>
          </w:p>
          <w:p w14:paraId="12A3E4EE" w14:textId="6A97860C" w:rsidR="0079716F" w:rsidRDefault="0079716F" w:rsidP="0079716F">
            <w:r>
              <w:rPr>
                <w:lang w:bidi="pt-PT"/>
              </w:rPr>
              <w:t>3.</w:t>
            </w:r>
          </w:p>
        </w:tc>
      </w:tr>
      <w:tr w:rsidR="0079716F" w14:paraId="2AF833E5" w14:textId="77777777" w:rsidTr="0079716F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330D272A" w14:textId="5D670129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pt-PT"/>
              </w:rPr>
              <w:t>Pontos fracos</w:t>
            </w:r>
          </w:p>
        </w:tc>
        <w:tc>
          <w:tcPr>
            <w:tcW w:w="7088" w:type="dxa"/>
            <w:shd w:val="clear" w:color="auto" w:fill="0092B6" w:themeFill="accent1"/>
          </w:tcPr>
          <w:p w14:paraId="1AA44503" w14:textId="64645A81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pt-PT"/>
              </w:rPr>
              <w:t>Ameaças</w:t>
            </w:r>
          </w:p>
        </w:tc>
      </w:tr>
      <w:tr w:rsidR="0079716F" w14:paraId="0512EA76" w14:textId="77777777" w:rsidTr="0079716F">
        <w:tc>
          <w:tcPr>
            <w:tcW w:w="6946" w:type="dxa"/>
          </w:tcPr>
          <w:p w14:paraId="51FE5BFD" w14:textId="77777777" w:rsidR="0079716F" w:rsidRDefault="0079716F" w:rsidP="0079716F">
            <w:r>
              <w:rPr>
                <w:lang w:bidi="pt-PT"/>
              </w:rPr>
              <w:t xml:space="preserve">1. </w:t>
            </w:r>
          </w:p>
          <w:p w14:paraId="261BECC0" w14:textId="77777777" w:rsidR="0079716F" w:rsidRDefault="0079716F" w:rsidP="0079716F">
            <w:r>
              <w:rPr>
                <w:lang w:bidi="pt-PT"/>
              </w:rPr>
              <w:t xml:space="preserve">2. </w:t>
            </w:r>
          </w:p>
          <w:p w14:paraId="56D3ACDA" w14:textId="1856548C" w:rsidR="0079716F" w:rsidRDefault="0079716F" w:rsidP="0079716F">
            <w:r>
              <w:rPr>
                <w:lang w:bidi="pt-PT"/>
              </w:rPr>
              <w:t>3.</w:t>
            </w:r>
          </w:p>
        </w:tc>
        <w:tc>
          <w:tcPr>
            <w:tcW w:w="7088" w:type="dxa"/>
          </w:tcPr>
          <w:p w14:paraId="42F64DAF" w14:textId="77777777" w:rsidR="0079716F" w:rsidRDefault="0079716F" w:rsidP="0079716F">
            <w:r>
              <w:rPr>
                <w:lang w:bidi="pt-PT"/>
              </w:rPr>
              <w:t xml:space="preserve">1. </w:t>
            </w:r>
          </w:p>
          <w:p w14:paraId="7E0F0FB5" w14:textId="77777777" w:rsidR="0079716F" w:rsidRDefault="0079716F" w:rsidP="0079716F">
            <w:r>
              <w:rPr>
                <w:lang w:bidi="pt-PT"/>
              </w:rPr>
              <w:t xml:space="preserve">2. </w:t>
            </w:r>
          </w:p>
          <w:p w14:paraId="119B121F" w14:textId="22DA8A7E" w:rsidR="0079716F" w:rsidRDefault="0079716F" w:rsidP="0079716F">
            <w:r>
              <w:rPr>
                <w:lang w:bidi="pt-PT"/>
              </w:rPr>
              <w:t>3.</w:t>
            </w:r>
          </w:p>
        </w:tc>
      </w:tr>
    </w:tbl>
    <w:p w14:paraId="47FD4022" w14:textId="77777777" w:rsidR="0079716F" w:rsidRDefault="0079716F" w:rsidP="0079716F"/>
    <w:p w14:paraId="356566E3" w14:textId="77777777" w:rsidR="0079716F" w:rsidRDefault="0079716F" w:rsidP="0079716F">
      <w:r>
        <w:rPr>
          <w:lang w:bidi="pt-PT"/>
        </w:rPr>
        <w:t xml:space="preserve">Para fazer uma análise mais aprofundada dos resultados e tomar decisões estratégicas sobre os riscos que devem ser objeto de ações prioritárias, pergunte-se o seguinte: </w:t>
      </w:r>
    </w:p>
    <w:p w14:paraId="0E28E424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pt-PT"/>
        </w:rPr>
        <w:t>Que estratégias irão utilizar os pontos fortes identificados para maximizar as oportunidades?</w:t>
      </w:r>
    </w:p>
    <w:p w14:paraId="51C4EC1B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pt-PT"/>
        </w:rPr>
        <w:t>Que estratégias irão utilizar os pontos fortes identificados para minimizar as ameaças?</w:t>
      </w:r>
    </w:p>
    <w:p w14:paraId="0AA2960A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pt-PT"/>
        </w:rPr>
        <w:t xml:space="preserve">Que estratégias irão minimizar os pontos fracos, tirando partido das oportunidades? </w:t>
      </w:r>
    </w:p>
    <w:p w14:paraId="1A62A306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pt-PT"/>
        </w:rPr>
        <w:t>Que estratégias irão minimizar os pontos fracos e evitar as ameaças?</w:t>
      </w:r>
    </w:p>
    <w:p w14:paraId="5281AB07" w14:textId="262EC98D" w:rsidR="0079716F" w:rsidRDefault="0079716F" w:rsidP="0079716F">
      <w:r>
        <w:rPr>
          <w:lang w:bidi="pt-PT"/>
        </w:rPr>
        <w:t>As respostas podem ser apresentadas numa tabela grande (como o exemplo na página seguinte) para que todas as pessoas as vejam. As informações fornecidas podem ser consultadas à medida que o grupo avança para outras etapas do processo do desenvolvimento baseado no conhecimento dos riscos.</w:t>
      </w:r>
    </w:p>
    <w:p w14:paraId="5BEAE8AC" w14:textId="77777777" w:rsidR="0079716F" w:rsidRDefault="0079716F" w:rsidP="0079716F"/>
    <w:p w14:paraId="3A94B1CD" w14:textId="77777777" w:rsidR="00E756D9" w:rsidRDefault="00E756D9" w:rsidP="00E756D9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4643"/>
        <w:gridCol w:w="4643"/>
        <w:gridCol w:w="4644"/>
      </w:tblGrid>
      <w:tr w:rsidR="00596181" w14:paraId="7539A64F" w14:textId="77777777" w:rsidTr="007E6D08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 w:themeColor="background2"/>
            </w:tcBorders>
          </w:tcPr>
          <w:p w14:paraId="559C6A6D" w14:textId="324B8A8F" w:rsidR="0079716F" w:rsidRDefault="0079716F" w:rsidP="00092142"/>
        </w:tc>
        <w:tc>
          <w:tcPr>
            <w:tcW w:w="4643" w:type="dxa"/>
            <w:shd w:val="clear" w:color="auto" w:fill="0092B6" w:themeFill="accent1"/>
          </w:tcPr>
          <w:p w14:paraId="02C37B1A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Oportunidades relacionadas com as partes interessadas externas</w:t>
            </w:r>
          </w:p>
          <w:p w14:paraId="20563FE8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1. </w:t>
            </w:r>
          </w:p>
          <w:p w14:paraId="27DE6840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2. </w:t>
            </w:r>
          </w:p>
          <w:p w14:paraId="6CABB541" w14:textId="1A5215E0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3.</w:t>
            </w:r>
          </w:p>
        </w:tc>
        <w:tc>
          <w:tcPr>
            <w:tcW w:w="4644" w:type="dxa"/>
            <w:shd w:val="clear" w:color="auto" w:fill="0092B6" w:themeFill="accent1"/>
          </w:tcPr>
          <w:p w14:paraId="7647969E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Ameaças relacionadas com as partes interessadas externas</w:t>
            </w:r>
          </w:p>
          <w:p w14:paraId="336A1F50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1. </w:t>
            </w:r>
          </w:p>
          <w:p w14:paraId="094019E8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2. </w:t>
            </w:r>
          </w:p>
          <w:p w14:paraId="125580C4" w14:textId="7B2E8496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3.</w:t>
            </w:r>
          </w:p>
        </w:tc>
      </w:tr>
      <w:tr w:rsidR="00596181" w14:paraId="43B57B6E" w14:textId="77777777" w:rsidTr="00596181">
        <w:tc>
          <w:tcPr>
            <w:tcW w:w="4643" w:type="dxa"/>
            <w:tcBorders>
              <w:top w:val="single" w:sz="6" w:space="0" w:color="CECECE" w:themeColor="background2"/>
            </w:tcBorders>
            <w:shd w:val="clear" w:color="auto" w:fill="0092B6" w:themeFill="accent1"/>
          </w:tcPr>
          <w:p w14:paraId="27ECF78B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Pontos fortes relacionados com as partes interessadas internas</w:t>
            </w:r>
          </w:p>
          <w:p w14:paraId="48E16AAF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1. </w:t>
            </w:r>
          </w:p>
          <w:p w14:paraId="0AC69797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2. </w:t>
            </w:r>
          </w:p>
          <w:p w14:paraId="3FAE0D00" w14:textId="7FB2316D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3.</w:t>
            </w:r>
          </w:p>
        </w:tc>
        <w:tc>
          <w:tcPr>
            <w:tcW w:w="4643" w:type="dxa"/>
          </w:tcPr>
          <w:p w14:paraId="6253518B" w14:textId="77777777" w:rsidR="0079716F" w:rsidRPr="0079716F" w:rsidRDefault="0079716F" w:rsidP="0079716F">
            <w:pPr>
              <w:rPr>
                <w:b/>
                <w:bCs/>
              </w:rPr>
            </w:pPr>
            <w:r w:rsidRPr="0079716F">
              <w:rPr>
                <w:b/>
                <w:lang w:bidi="pt-PT"/>
              </w:rPr>
              <w:t>Estratégias que irão utilizar os pontos fortes para maximizar as oportunidades</w:t>
            </w:r>
          </w:p>
          <w:p w14:paraId="316C3496" w14:textId="77777777" w:rsidR="0079716F" w:rsidRPr="0079716F" w:rsidRDefault="0079716F" w:rsidP="0079716F">
            <w:pPr>
              <w:rPr>
                <w:b/>
                <w:bCs/>
              </w:rPr>
            </w:pPr>
            <w:r w:rsidRPr="0079716F">
              <w:rPr>
                <w:b/>
                <w:lang w:bidi="pt-PT"/>
              </w:rPr>
              <w:t xml:space="preserve">1. </w:t>
            </w:r>
          </w:p>
          <w:p w14:paraId="1F2A3855" w14:textId="77777777" w:rsidR="0079716F" w:rsidRPr="0079716F" w:rsidRDefault="0079716F" w:rsidP="0079716F">
            <w:pPr>
              <w:rPr>
                <w:b/>
                <w:bCs/>
              </w:rPr>
            </w:pPr>
            <w:r w:rsidRPr="0079716F">
              <w:rPr>
                <w:b/>
                <w:lang w:bidi="pt-PT"/>
              </w:rPr>
              <w:t xml:space="preserve">2. </w:t>
            </w:r>
          </w:p>
          <w:p w14:paraId="13358CD9" w14:textId="31BFE68D" w:rsidR="00596181" w:rsidRDefault="0079716F" w:rsidP="0079716F">
            <w:r w:rsidRPr="0079716F">
              <w:rPr>
                <w:b/>
                <w:lang w:bidi="pt-PT"/>
              </w:rPr>
              <w:t>3.</w:t>
            </w:r>
          </w:p>
        </w:tc>
        <w:tc>
          <w:tcPr>
            <w:tcW w:w="4644" w:type="dxa"/>
          </w:tcPr>
          <w:p w14:paraId="6EA71549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>Estratégias que irão utilizar os pontos fortes para minimizar as ameaças</w:t>
            </w:r>
          </w:p>
          <w:p w14:paraId="1AE885BC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 xml:space="preserve">1. </w:t>
            </w:r>
          </w:p>
          <w:p w14:paraId="655F4CA5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 xml:space="preserve">2. </w:t>
            </w:r>
          </w:p>
          <w:p w14:paraId="08691E21" w14:textId="140C3D7F" w:rsidR="00596181" w:rsidRDefault="00194024" w:rsidP="00194024">
            <w:r w:rsidRPr="00194024">
              <w:rPr>
                <w:b/>
                <w:lang w:bidi="pt-PT"/>
              </w:rPr>
              <w:t>3.</w:t>
            </w:r>
          </w:p>
        </w:tc>
      </w:tr>
      <w:tr w:rsidR="00596181" w14:paraId="3A9402E3" w14:textId="77777777" w:rsidTr="00596181">
        <w:tc>
          <w:tcPr>
            <w:tcW w:w="4643" w:type="dxa"/>
            <w:shd w:val="clear" w:color="auto" w:fill="0092B6" w:themeFill="accent1"/>
          </w:tcPr>
          <w:p w14:paraId="64C8D3C7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Pontos fracos relacionados com as partes interessadas internas</w:t>
            </w:r>
          </w:p>
          <w:p w14:paraId="07716AD0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1. </w:t>
            </w:r>
          </w:p>
          <w:p w14:paraId="251B6829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 xml:space="preserve">2. </w:t>
            </w:r>
          </w:p>
          <w:p w14:paraId="244D0194" w14:textId="2777A205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pt-PT"/>
              </w:rPr>
              <w:t>3.</w:t>
            </w:r>
          </w:p>
        </w:tc>
        <w:tc>
          <w:tcPr>
            <w:tcW w:w="4643" w:type="dxa"/>
          </w:tcPr>
          <w:p w14:paraId="3DA3952C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>Estratégias que minimizam os pontos fracos para aproveitar as oportunidades</w:t>
            </w:r>
          </w:p>
          <w:p w14:paraId="479E9393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>1.</w:t>
            </w:r>
          </w:p>
          <w:p w14:paraId="29903908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 xml:space="preserve">2. </w:t>
            </w:r>
          </w:p>
          <w:p w14:paraId="394263B5" w14:textId="69F9FF3A" w:rsidR="00596181" w:rsidRPr="00194024" w:rsidRDefault="00194024" w:rsidP="00856DB5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 xml:space="preserve">3. </w:t>
            </w:r>
          </w:p>
        </w:tc>
        <w:tc>
          <w:tcPr>
            <w:tcW w:w="4644" w:type="dxa"/>
          </w:tcPr>
          <w:p w14:paraId="012699DD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>Estratégias que minimizam os pontos fracos e evitam as ameaças</w:t>
            </w:r>
          </w:p>
          <w:p w14:paraId="40E9524E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 xml:space="preserve">1. </w:t>
            </w:r>
          </w:p>
          <w:p w14:paraId="52075BD1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pt-PT"/>
              </w:rPr>
              <w:t xml:space="preserve">2. </w:t>
            </w:r>
          </w:p>
          <w:p w14:paraId="42F7E188" w14:textId="7F5A524A" w:rsidR="00596181" w:rsidRDefault="00194024" w:rsidP="00194024">
            <w:r w:rsidRPr="00194024">
              <w:rPr>
                <w:b/>
                <w:lang w:bidi="pt-PT"/>
              </w:rPr>
              <w:t>3.</w:t>
            </w:r>
          </w:p>
        </w:tc>
      </w:tr>
    </w:tbl>
    <w:p w14:paraId="217A6DFF" w14:textId="6F529249" w:rsidR="007E6D08" w:rsidRPr="00282B10" w:rsidRDefault="007E6D08" w:rsidP="00445EEC"/>
    <w:sectPr w:rsidR="007E6D08" w:rsidRPr="00282B10" w:rsidSect="00596181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5D17" w14:textId="77777777" w:rsidR="00F04A9D" w:rsidRDefault="00F04A9D" w:rsidP="00F06EE9">
      <w:r>
        <w:separator/>
      </w:r>
    </w:p>
  </w:endnote>
  <w:endnote w:type="continuationSeparator" w:id="0">
    <w:p w14:paraId="6C7860A1" w14:textId="77777777" w:rsidR="00F04A9D" w:rsidRDefault="00F04A9D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pt-PT"/>
          </w:rPr>
          <w:fldChar w:fldCharType="begin"/>
        </w:r>
        <w:r>
          <w:rPr>
            <w:rStyle w:val="PageNumber"/>
            <w:lang w:bidi="pt-PT"/>
          </w:rPr>
          <w:instrText xml:space="preserve"> PAGE </w:instrText>
        </w:r>
        <w:r>
          <w:rPr>
            <w:rStyle w:val="PageNumber"/>
            <w:lang w:bidi="pt-PT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  <w:lang w:bidi="pt-PT"/>
          </w:rPr>
          <w:fldChar w:fldCharType="begin"/>
        </w:r>
        <w:r w:rsidRPr="00D64625">
          <w:rPr>
            <w:rStyle w:val="PageNumber"/>
            <w:sz w:val="16"/>
            <w:szCs w:val="16"/>
            <w:lang w:bidi="pt-PT"/>
          </w:rPr>
          <w:instrText xml:space="preserve"> PAGE </w:instrText>
        </w:r>
        <w:r w:rsidRPr="00D64625">
          <w:rPr>
            <w:rStyle w:val="PageNumber"/>
            <w:sz w:val="16"/>
            <w:szCs w:val="16"/>
            <w:lang w:bidi="pt-PT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  <w:lang w:bidi="pt-PT"/>
          </w:rPr>
          <w:t>3</w:t>
        </w:r>
        <w:r w:rsidRPr="00D64625">
          <w:rPr>
            <w:rStyle w:val="PageNumber"/>
            <w:sz w:val="16"/>
            <w:szCs w:val="16"/>
            <w:lang w:bidi="pt-PT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  <w:lang w:bidi="pt-PT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  <w:lang w:bidi="pt-PT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color w:val="0092B6" w:themeColor="accent1"/>
        <w:sz w:val="16"/>
        <w:szCs w:val="16"/>
        <w:lang w:bidi="pt-PT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  <w:lang w:bidi="pt-PT"/>
      </w:rPr>
      <w:t xml:space="preserve">Instituição de beneficência n.º 1141471. Sociedade limitada por garantia, registada em Inglaterra e no País de Gales sob o n.º 07374358 </w:t>
    </w:r>
    <w:r w:rsidRPr="00655FE8">
      <w:rPr>
        <w:sz w:val="16"/>
        <w:szCs w:val="16"/>
        <w:lang w:bidi="pt-PT"/>
      </w:rPr>
      <w:br/>
      <w:t>Sede: 8 Waldegrave Rd, Teddington, London, TW11 8HT, UK</w:t>
    </w:r>
    <w:r w:rsidRPr="00655FE8">
      <w:rPr>
        <w:sz w:val="16"/>
        <w:szCs w:val="16"/>
        <w:lang w:bidi="pt-PT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77C0" w14:textId="77777777" w:rsidR="00F04A9D" w:rsidRDefault="00F04A9D" w:rsidP="00F06EE9">
      <w:r>
        <w:separator/>
      </w:r>
    </w:p>
  </w:footnote>
  <w:footnote w:type="continuationSeparator" w:id="0">
    <w:p w14:paraId="76D6E1AE" w14:textId="77777777" w:rsidR="00F04A9D" w:rsidRDefault="00F04A9D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  <w:lang w:bidi="pt-PT"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02FB6"/>
    <w:multiLevelType w:val="hybridMultilevel"/>
    <w:tmpl w:val="385C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13762E"/>
    <w:rsid w:val="00194024"/>
    <w:rsid w:val="002229E0"/>
    <w:rsid w:val="00240478"/>
    <w:rsid w:val="00282B10"/>
    <w:rsid w:val="00306C15"/>
    <w:rsid w:val="003468B8"/>
    <w:rsid w:val="003476EE"/>
    <w:rsid w:val="003E2AC4"/>
    <w:rsid w:val="00445EEC"/>
    <w:rsid w:val="004619BA"/>
    <w:rsid w:val="004A56E7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9716F"/>
    <w:rsid w:val="007B616E"/>
    <w:rsid w:val="007E6D08"/>
    <w:rsid w:val="00805923"/>
    <w:rsid w:val="00837B36"/>
    <w:rsid w:val="00856DB5"/>
    <w:rsid w:val="008C18B1"/>
    <w:rsid w:val="008D28D0"/>
    <w:rsid w:val="008F29DE"/>
    <w:rsid w:val="00A57A9D"/>
    <w:rsid w:val="00B82AA5"/>
    <w:rsid w:val="00C03130"/>
    <w:rsid w:val="00C8433F"/>
    <w:rsid w:val="00D01739"/>
    <w:rsid w:val="00D358E6"/>
    <w:rsid w:val="00D46DD9"/>
    <w:rsid w:val="00D64625"/>
    <w:rsid w:val="00DA6BFC"/>
    <w:rsid w:val="00E756D9"/>
    <w:rsid w:val="00EC5CD7"/>
    <w:rsid w:val="00EE4E40"/>
    <w:rsid w:val="00EF4631"/>
    <w:rsid w:val="00F04A9D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u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Resources/Brand/Word%20Templates/External%20Document%20Template%20(Word).dotx" TargetMode="External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Template (Word).dotx</Template>
  <TotalTime>29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2022-01-10T10:41:00Z</dcterms:created>
  <dcterms:modified xsi:type="dcterms:W3CDTF">2022-02-16T16:11:00Z</dcterms:modified>
</cp:coreProperties>
</file>